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9326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ZAKAJ PA, OH, NOCOJ?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Zakaj pa oh nocoj, 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več lučka ne gori,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pri ljubi v kamrici,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saj bla' je vse noči.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drija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Nocoj je oh nocoj,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njej drugi vasoval,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nocoj je oh nocoj,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pri njej sladko zaspal.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drija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Ne bom je oh ne bom,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več prosil za srce,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saj videl sem nocoj,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da drugi v kamro gre.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drija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Nocoj pa oh nocoj,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ko mesec svetil bo,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nocoj pa oh nocoj,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>me več nazaj ne bo.</w:t>
      </w: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969" w:rsidRPr="00812969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drija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941CC" w:rsidRPr="008276B6" w:rsidRDefault="00812969" w:rsidP="008129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hojladrijadrom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, ti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dreja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2969">
        <w:rPr>
          <w:rFonts w:ascii="Times New Roman" w:eastAsia="Calibri" w:hAnsi="Times New Roman" w:cs="Times New Roman"/>
          <w:sz w:val="28"/>
          <w:szCs w:val="28"/>
        </w:rPr>
        <w:t>drom</w:t>
      </w:r>
      <w:proofErr w:type="spellEnd"/>
      <w:r w:rsidRPr="0081296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12969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9326E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86F215-C285-4D1F-AB63-31FADCC9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3</cp:revision>
  <dcterms:created xsi:type="dcterms:W3CDTF">2019-08-08T08:29:00Z</dcterms:created>
  <dcterms:modified xsi:type="dcterms:W3CDTF">2019-08-08T08:30:00Z</dcterms:modified>
</cp:coreProperties>
</file>